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2B7A4C" w:rsidRDefault="007A24EA" w:rsidP="002B7A4C">
      <w:pPr>
        <w:spacing w:line="240" w:lineRule="auto"/>
        <w:rPr>
          <w:rFonts w:ascii="Times New Roman" w:hAnsi="Times New Roman"/>
          <w:szCs w:val="28"/>
        </w:rPr>
      </w:pPr>
    </w:p>
    <w:p w:rsidR="007A24EA" w:rsidRPr="00E61846" w:rsidRDefault="007A24EA" w:rsidP="00E61846">
      <w:pPr>
        <w:widowControl w:val="0"/>
        <w:suppressLineNumbers/>
        <w:suppressAutoHyphens/>
        <w:spacing w:line="240" w:lineRule="auto"/>
        <w:ind w:firstLine="0"/>
        <w:jc w:val="center"/>
        <w:rPr>
          <w:rFonts w:ascii="Times New Roman" w:hAnsi="Times New Roman"/>
          <w:sz w:val="24"/>
          <w:szCs w:val="24"/>
        </w:rPr>
      </w:pPr>
      <w:r w:rsidRPr="00E61846">
        <w:rPr>
          <w:rFonts w:ascii="Times New Roman" w:hAnsi="Times New Roman"/>
          <w:sz w:val="24"/>
          <w:szCs w:val="24"/>
        </w:rPr>
        <w:t>МИНИСТЕРСТВО</w:t>
      </w:r>
      <w:r w:rsidR="00247F16" w:rsidRPr="00E61846">
        <w:rPr>
          <w:rFonts w:ascii="Times New Roman" w:hAnsi="Times New Roman"/>
          <w:sz w:val="24"/>
          <w:szCs w:val="24"/>
        </w:rPr>
        <w:t xml:space="preserve"> </w:t>
      </w:r>
      <w:r w:rsidR="00E61846" w:rsidRPr="00E61846">
        <w:rPr>
          <w:rFonts w:ascii="Times New Roman" w:hAnsi="Times New Roman"/>
          <w:sz w:val="24"/>
          <w:szCs w:val="24"/>
        </w:rPr>
        <w:t xml:space="preserve">НАУКИ И ВЫСШЕГО </w:t>
      </w:r>
      <w:r w:rsidR="00247F16" w:rsidRPr="00E61846">
        <w:rPr>
          <w:rFonts w:ascii="Times New Roman" w:hAnsi="Times New Roman"/>
          <w:sz w:val="24"/>
          <w:szCs w:val="24"/>
        </w:rPr>
        <w:t>ОБРАЗОВАНИЯ</w:t>
      </w:r>
      <w:r w:rsidR="00597B81" w:rsidRPr="00E61846">
        <w:rPr>
          <w:rFonts w:ascii="Times New Roman" w:hAnsi="Times New Roman"/>
          <w:sz w:val="24"/>
          <w:szCs w:val="24"/>
        </w:rPr>
        <w:t xml:space="preserve"> РОССИЙСКОЙ</w:t>
      </w:r>
      <w:r w:rsidR="001642D1" w:rsidRPr="00E61846">
        <w:rPr>
          <w:rFonts w:ascii="Times New Roman" w:hAnsi="Times New Roman"/>
          <w:sz w:val="24"/>
          <w:szCs w:val="24"/>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C8412F" w:rsidRPr="002B7A4C">
        <w:rPr>
          <w:rFonts w:ascii="Times New Roman" w:hAnsi="Times New Roman"/>
          <w:szCs w:val="28"/>
        </w:rPr>
        <w:t xml:space="preserve"> </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E61846" w:rsidP="002B7A4C">
      <w:pPr>
        <w:widowControl w:val="0"/>
        <w:suppressLineNumbers/>
        <w:suppressAutoHyphens/>
        <w:spacing w:line="240" w:lineRule="auto"/>
        <w:jc w:val="center"/>
        <w:rPr>
          <w:rFonts w:ascii="Times New Roman" w:hAnsi="Times New Roman"/>
          <w:szCs w:val="28"/>
        </w:rPr>
      </w:pPr>
      <w:r>
        <w:rPr>
          <w:rFonts w:ascii="Times New Roman" w:hAnsi="Times New Roman"/>
          <w:szCs w:val="28"/>
        </w:rPr>
        <w:t>(ДГТУ)</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D166EF">
      <w:pPr>
        <w:spacing w:line="360" w:lineRule="auto"/>
        <w:ind w:firstLine="0"/>
        <w:rPr>
          <w:rFonts w:cs="Tahoma"/>
        </w:rPr>
      </w:pPr>
    </w:p>
    <w:p w:rsidR="00770878" w:rsidRPr="00770878" w:rsidRDefault="00770878" w:rsidP="00770878">
      <w:pPr>
        <w:jc w:val="center"/>
        <w:rPr>
          <w:rFonts w:ascii="Times New Roman" w:hAnsi="Times New Roman"/>
          <w:b/>
        </w:rPr>
      </w:pPr>
      <w:r w:rsidRPr="00770878">
        <w:rPr>
          <w:rFonts w:ascii="Times New Roman" w:hAnsi="Times New Roman"/>
          <w:b/>
        </w:rPr>
        <w:t xml:space="preserve"> </w:t>
      </w:r>
      <w:r w:rsidR="00D166EF" w:rsidRPr="00D166EF">
        <w:rPr>
          <w:rFonts w:ascii="Times New Roman" w:hAnsi="Times New Roman"/>
          <w:b/>
        </w:rPr>
        <w:t>ПАТЕНТНЫЕ ПРАВА. ГОСУДАРСТВЕННАЯ РЕГИСТРАЦИЯ И СРОКИ ДЕЙСТВИЯ ИСКЛЮЧИТЕЛ</w:t>
      </w:r>
      <w:r w:rsidR="00D166EF">
        <w:rPr>
          <w:rFonts w:ascii="Times New Roman" w:hAnsi="Times New Roman"/>
          <w:b/>
        </w:rPr>
        <w:t>ЬНЫХ ПРАВ НА ИЗОБРЕТЕНИЕ, ПОЛЕЗ</w:t>
      </w:r>
      <w:r w:rsidR="00D166EF" w:rsidRPr="00D166EF">
        <w:rPr>
          <w:rFonts w:ascii="Times New Roman" w:hAnsi="Times New Roman"/>
          <w:b/>
        </w:rPr>
        <w:t>НУЮ МОДЕЛЬ И ПРОМЫШЛЕННЫЙ ОБРАЗЕЦ</w:t>
      </w:r>
    </w:p>
    <w:p w:rsidR="00E61846"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w:t>
      </w:r>
    </w:p>
    <w:p w:rsidR="00C129F3" w:rsidRPr="002B7A4C" w:rsidRDefault="005618EF" w:rsidP="002B7A4C">
      <w:pPr>
        <w:widowControl w:val="0"/>
        <w:suppressLineNumbers/>
        <w:suppressAutoHyphens/>
        <w:spacing w:line="240" w:lineRule="auto"/>
        <w:jc w:val="center"/>
        <w:rPr>
          <w:rFonts w:ascii="Times New Roman" w:hAnsi="Times New Roman"/>
          <w:szCs w:val="28"/>
        </w:rPr>
      </w:pPr>
      <w:bookmarkStart w:id="0" w:name="_GoBack"/>
      <w:bookmarkEnd w:id="0"/>
      <w:r w:rsidRPr="002B7A4C">
        <w:rPr>
          <w:rFonts w:ascii="Times New Roman" w:hAnsi="Times New Roman"/>
          <w:szCs w:val="28"/>
        </w:rPr>
        <w:t>«</w:t>
      </w:r>
      <w:r w:rsidR="00E61846">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4510B8" w:rsidRPr="002B7A4C">
        <w:rPr>
          <w:rFonts w:ascii="Times New Roman" w:hAnsi="Times New Roman"/>
          <w:szCs w:val="28"/>
        </w:rPr>
        <w:t xml:space="preserve"> </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5138B0"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129F3"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0015DF" w:rsidRPr="002B7A4C">
        <w:rPr>
          <w:rFonts w:ascii="Times New Roman" w:hAnsi="Times New Roman"/>
          <w:szCs w:val="28"/>
        </w:rPr>
        <w:t>к.т.н. доцент Голубева О.А.</w:t>
      </w:r>
    </w:p>
    <w:p w:rsidR="00C05D3B"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05D3B" w:rsidRPr="002B7A4C">
        <w:rPr>
          <w:rFonts w:ascii="Times New Roman" w:hAnsi="Times New Roman"/>
          <w:szCs w:val="28"/>
        </w:rPr>
        <w:tab/>
      </w:r>
      <w:r w:rsidR="005138B0" w:rsidRPr="002B7A4C">
        <w:rPr>
          <w:rFonts w:ascii="Times New Roman" w:hAnsi="Times New Roman"/>
          <w:szCs w:val="28"/>
        </w:rPr>
        <w:t xml:space="preserve"> </w:t>
      </w:r>
    </w:p>
    <w:p w:rsidR="007A24EA"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7E1E01" w:rsidP="002B7A4C">
      <w:pPr>
        <w:spacing w:line="240" w:lineRule="auto"/>
        <w:rPr>
          <w:rFonts w:ascii="Times New Roman" w:hAnsi="Times New Roman"/>
          <w:szCs w:val="28"/>
        </w:rPr>
      </w:pPr>
      <w:r>
        <w:rPr>
          <w:rFonts w:ascii="Times New Roman" w:hAnsi="Times New Roman"/>
          <w:szCs w:val="28"/>
        </w:rPr>
        <w:t>П</w:t>
      </w:r>
      <w:r w:rsidRPr="007E1E01">
        <w:rPr>
          <w:rFonts w:ascii="Times New Roman" w:hAnsi="Times New Roman"/>
          <w:szCs w:val="28"/>
        </w:rPr>
        <w:t>атентные права. государственная регистрация и сроки действия исключительных прав на изобретение, полезную модель и промышленный образец</w:t>
      </w:r>
      <w:r w:rsidR="000015DF"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Донской гос. техн.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AD5A68" w:rsidRPr="002B7A4C">
        <w:rPr>
          <w:rFonts w:ascii="Times New Roman" w:hAnsi="Times New Roman"/>
          <w:szCs w:val="28"/>
        </w:rPr>
        <w:t xml:space="preserve"> </w:t>
      </w:r>
      <w:r w:rsidR="00287418" w:rsidRPr="002B7A4C">
        <w:rPr>
          <w:rFonts w:ascii="Times New Roman" w:hAnsi="Times New Roman"/>
          <w:szCs w:val="28"/>
        </w:rPr>
        <w:t>–</w:t>
      </w:r>
      <w:r w:rsidR="00AD5A68" w:rsidRPr="002B7A4C">
        <w:rPr>
          <w:rFonts w:ascii="Times New Roman" w:hAnsi="Times New Roman"/>
          <w:szCs w:val="28"/>
        </w:rPr>
        <w:t xml:space="preserve"> </w:t>
      </w:r>
      <w:r w:rsidR="00D166EF">
        <w:rPr>
          <w:rFonts w:ascii="Times New Roman" w:hAnsi="Times New Roman"/>
          <w:szCs w:val="28"/>
        </w:rPr>
        <w:t xml:space="preserve">10 </w:t>
      </w:r>
      <w:r w:rsidR="00AD5A68" w:rsidRPr="002B7A4C">
        <w:rPr>
          <w:rFonts w:ascii="Times New Roman" w:hAnsi="Times New Roman"/>
          <w:szCs w:val="28"/>
        </w:rPr>
        <w:t>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w:t>
      </w:r>
      <w:r w:rsidR="007A24EA" w:rsidRPr="002B7A4C">
        <w:rPr>
          <w:rFonts w:ascii="Times New Roman" w:hAnsi="Times New Roman"/>
          <w:szCs w:val="28"/>
        </w:rPr>
        <w:t xml:space="preserve">Печатается по решению </w:t>
      </w:r>
      <w:r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 xml:space="preserve">правление качеством» д-р </w:t>
      </w:r>
      <w:proofErr w:type="spellStart"/>
      <w:r w:rsidR="000015DF">
        <w:rPr>
          <w:rFonts w:ascii="Times New Roman" w:hAnsi="Times New Roman"/>
          <w:szCs w:val="28"/>
        </w:rPr>
        <w:t>техн</w:t>
      </w:r>
      <w:proofErr w:type="spellEnd"/>
      <w:r w:rsidR="000015DF">
        <w:rPr>
          <w:rFonts w:ascii="Times New Roman" w:hAnsi="Times New Roman"/>
          <w:szCs w:val="28"/>
        </w:rPr>
        <w:t>.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0015DF" w:rsidRPr="00D166EF" w:rsidRDefault="002B7A4C" w:rsidP="00D166EF">
      <w:pPr>
        <w:spacing w:line="240" w:lineRule="auto"/>
        <w:rPr>
          <w:rFonts w:ascii="Times New Roman" w:hAnsi="Times New Roman"/>
          <w:szCs w:val="28"/>
        </w:rPr>
      </w:pPr>
      <w:r>
        <w:rPr>
          <w:rFonts w:ascii="Times New Roman" w:hAnsi="Times New Roman"/>
          <w:szCs w:val="28"/>
        </w:rPr>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D166EF" w:rsidRPr="00D166EF">
        <w:rPr>
          <w:rFonts w:ascii="Times New Roman" w:hAnsi="Times New Roman"/>
          <w:szCs w:val="28"/>
        </w:rPr>
        <w:t>изучить порядок и условия прохо</w:t>
      </w:r>
      <w:r w:rsidR="00D166EF">
        <w:rPr>
          <w:rFonts w:ascii="Times New Roman" w:hAnsi="Times New Roman"/>
          <w:szCs w:val="28"/>
        </w:rPr>
        <w:t>ждения государственной регистра</w:t>
      </w:r>
      <w:r w:rsidR="00D166EF" w:rsidRPr="00D166EF">
        <w:rPr>
          <w:rFonts w:ascii="Times New Roman" w:hAnsi="Times New Roman"/>
          <w:szCs w:val="28"/>
        </w:rPr>
        <w:t>ции изобретения, полезной модели и промышленного образца.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D166EF">
      <w:pPr>
        <w:spacing w:line="240" w:lineRule="auto"/>
        <w:rPr>
          <w:rFonts w:ascii="Times New Roman" w:hAnsi="Times New Roman"/>
          <w:szCs w:val="28"/>
        </w:rPr>
      </w:pPr>
      <w:r w:rsidRPr="002B7A4C">
        <w:rPr>
          <w:rFonts w:ascii="Times New Roman" w:hAnsi="Times New Roman"/>
          <w:szCs w:val="28"/>
        </w:rPr>
        <w:t>1</w:t>
      </w:r>
      <w:r w:rsidR="00D166EF" w:rsidRPr="00D166EF">
        <w:t xml:space="preserve"> </w:t>
      </w:r>
      <w:r w:rsidR="00D166EF" w:rsidRPr="00D166EF">
        <w:rPr>
          <w:rFonts w:ascii="Times New Roman" w:hAnsi="Times New Roman"/>
          <w:szCs w:val="28"/>
        </w:rPr>
        <w:t xml:space="preserve">патентные права. государственная регистрация и сроки действия исключительных прав на изобретение, полезную модель и </w:t>
      </w:r>
      <w:proofErr w:type="spellStart"/>
      <w:proofErr w:type="gramStart"/>
      <w:r w:rsidR="00D166EF" w:rsidRPr="00D166EF">
        <w:rPr>
          <w:rFonts w:ascii="Times New Roman" w:hAnsi="Times New Roman"/>
          <w:szCs w:val="28"/>
        </w:rPr>
        <w:t>промыш</w:t>
      </w:r>
      <w:proofErr w:type="spellEnd"/>
      <w:r w:rsidR="00D166EF" w:rsidRPr="00D166EF">
        <w:rPr>
          <w:rFonts w:ascii="Times New Roman" w:hAnsi="Times New Roman"/>
          <w:szCs w:val="28"/>
        </w:rPr>
        <w:t>-ленный</w:t>
      </w:r>
      <w:proofErr w:type="gramEnd"/>
      <w:r w:rsidR="00D166EF" w:rsidRPr="00D166EF">
        <w:rPr>
          <w:rFonts w:ascii="Times New Roman" w:hAnsi="Times New Roman"/>
          <w:szCs w:val="28"/>
        </w:rPr>
        <w:t xml:space="preserve"> образец</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D166EF" w:rsidRPr="00D166EF" w:rsidRDefault="00D166EF" w:rsidP="00D166EF">
      <w:pPr>
        <w:spacing w:line="240" w:lineRule="auto"/>
        <w:rPr>
          <w:rFonts w:ascii="Times New Roman" w:hAnsi="Times New Roman"/>
          <w:szCs w:val="28"/>
        </w:rPr>
      </w:pPr>
      <w:r>
        <w:rPr>
          <w:rFonts w:ascii="Times New Roman" w:hAnsi="Times New Roman"/>
          <w:szCs w:val="28"/>
        </w:rPr>
        <w:t xml:space="preserve">- </w:t>
      </w:r>
      <w:r w:rsidRPr="00D166EF">
        <w:rPr>
          <w:rFonts w:ascii="Times New Roman" w:hAnsi="Times New Roman"/>
          <w:szCs w:val="28"/>
        </w:rPr>
        <w:t>Изучить условия прохождения гос</w:t>
      </w:r>
      <w:r>
        <w:rPr>
          <w:rFonts w:ascii="Times New Roman" w:hAnsi="Times New Roman"/>
          <w:szCs w:val="28"/>
        </w:rPr>
        <w:t>ударственной регистрации изобре</w:t>
      </w:r>
      <w:r w:rsidRPr="00D166EF">
        <w:rPr>
          <w:rFonts w:ascii="Times New Roman" w:hAnsi="Times New Roman"/>
          <w:szCs w:val="28"/>
        </w:rPr>
        <w:t>тения, полезной модели и промышленного образца.</w:t>
      </w:r>
    </w:p>
    <w:p w:rsidR="00D166EF" w:rsidRDefault="00D166EF" w:rsidP="00D166EF">
      <w:pPr>
        <w:spacing w:line="240" w:lineRule="auto"/>
        <w:rPr>
          <w:rFonts w:ascii="Times New Roman" w:hAnsi="Times New Roman"/>
          <w:szCs w:val="28"/>
        </w:rPr>
      </w:pPr>
      <w:r>
        <w:rPr>
          <w:rFonts w:ascii="Times New Roman" w:hAnsi="Times New Roman"/>
          <w:szCs w:val="28"/>
        </w:rPr>
        <w:t xml:space="preserve">- </w:t>
      </w:r>
      <w:r w:rsidRPr="00D166EF">
        <w:rPr>
          <w:rFonts w:ascii="Times New Roman" w:hAnsi="Times New Roman"/>
          <w:szCs w:val="28"/>
        </w:rPr>
        <w:t>Изучить сроки действи</w:t>
      </w:r>
      <w:r>
        <w:rPr>
          <w:rFonts w:ascii="Times New Roman" w:hAnsi="Times New Roman"/>
          <w:szCs w:val="28"/>
        </w:rPr>
        <w:t>я исключительных прав на изобре</w:t>
      </w:r>
      <w:r w:rsidRPr="00D166EF">
        <w:rPr>
          <w:rFonts w:ascii="Times New Roman" w:hAnsi="Times New Roman"/>
          <w:szCs w:val="28"/>
        </w:rPr>
        <w:t>тение, полезную модель и промышленный образец.</w:t>
      </w:r>
    </w:p>
    <w:p w:rsidR="00D166EF" w:rsidRDefault="00D166EF" w:rsidP="00D166EF">
      <w:pPr>
        <w:spacing w:line="240" w:lineRule="auto"/>
        <w:rPr>
          <w:rFonts w:ascii="Times New Roman" w:hAnsi="Times New Roman"/>
          <w:szCs w:val="28"/>
        </w:rPr>
      </w:pPr>
    </w:p>
    <w:p w:rsidR="00785FCA" w:rsidRPr="002B7A4C" w:rsidRDefault="00785FCA" w:rsidP="00D166EF">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1. Государственная регистрация изобретений, полезных моделей и промышленных образцов</w:t>
      </w:r>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Исключительное право на изобретение, полезную модель или промышленный образец признается и охраняется при условии государственной регистрации соответствующих изобретения, полезной модели или промышленного образца, на основании которой федеральный орган исполнительной власти по интеллектуальной собственности выдает патент на изобретение, полезную модель или промышленный образец.</w:t>
      </w:r>
    </w:p>
    <w:p w:rsidR="00D166EF" w:rsidRPr="00D166EF" w:rsidRDefault="00D166EF" w:rsidP="00D166EF">
      <w:pPr>
        <w:rPr>
          <w:rFonts w:ascii="Times New Roman" w:hAnsi="Times New Roman"/>
          <w:color w:val="000000"/>
        </w:rPr>
      </w:pPr>
      <w:bookmarkStart w:id="1" w:name="41354"/>
      <w:bookmarkEnd w:id="1"/>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2.Патент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2" w:name="413541"/>
      <w:bookmarkEnd w:id="2"/>
      <w:r w:rsidRPr="00D166EF">
        <w:rPr>
          <w:rFonts w:ascii="Times New Roman" w:hAnsi="Times New Roman"/>
          <w:color w:val="000000"/>
        </w:rPr>
        <w:lastRenderedPageBreak/>
        <w:t xml:space="preserve"> Патент на изобретение, полезную модель или промышленный образец удостоверяет приоритет изобретения, полезной модели или промышленного образца, авторство и исключительное право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3" w:name="413542"/>
      <w:bookmarkEnd w:id="3"/>
      <w:r w:rsidRPr="00D166EF">
        <w:rPr>
          <w:rFonts w:ascii="Times New Roman" w:hAnsi="Times New Roman"/>
          <w:color w:val="000000"/>
        </w:rPr>
        <w:t>Охрана интеллектуальных прав на изобретение или полезную модель предоставляется на основании патента в объеме, определяемом содержащейся в патенте формулой изобретения или соответственно полезной модели. Для толкования формулы изобретения и формулы полезной модели могут использоваться описание и чертежи</w:t>
      </w:r>
      <w:bookmarkStart w:id="4" w:name="413543"/>
      <w:bookmarkEnd w:id="4"/>
      <w:r w:rsidRPr="00D166EF">
        <w:rPr>
          <w:rFonts w:ascii="Times New Roman" w:hAnsi="Times New Roman"/>
          <w:color w:val="000000"/>
        </w:rPr>
        <w:t>.</w:t>
      </w:r>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Охрана интеллектуальных прав на промышленный образец предоставляется на основании патента в объеме, определяемом совокупностью его существенных признаков, нашедших отражение на изображениях изделия и приведенных в перечне существенных признаков промышленного образца</w:t>
      </w:r>
      <w:bookmarkStart w:id="5" w:name="41355"/>
      <w:bookmarkEnd w:id="5"/>
      <w:r w:rsidRPr="00D166EF">
        <w:rPr>
          <w:rFonts w:ascii="Times New Roman" w:hAnsi="Times New Roman"/>
          <w:color w:val="000000"/>
        </w:rPr>
        <w:t>.</w:t>
      </w:r>
    </w:p>
    <w:p w:rsidR="00D166EF" w:rsidRPr="00D166EF" w:rsidRDefault="00D166EF" w:rsidP="00D166EF">
      <w:pPr>
        <w:ind w:firstLine="227"/>
        <w:rPr>
          <w:rFonts w:ascii="Times New Roman" w:hAnsi="Times New Roman"/>
          <w:bCs/>
          <w:color w:val="000000"/>
          <w:u w:val="single"/>
        </w:rPr>
      </w:pPr>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3.Право авторства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 xml:space="preserve">Право авторства, то есть право признаваться автором изобретения, полезной модели или промышленного образца, неотчуждаемо и непередаваемо, в том числе при передаче другому лицу или переходе к нему исключительного права на изобретение, полезную модель или промышленный образец и при предоставлении другому лицу права его использования. </w:t>
      </w:r>
    </w:p>
    <w:p w:rsidR="00D166EF" w:rsidRPr="00D166EF" w:rsidRDefault="00D166EF" w:rsidP="00D166EF">
      <w:pPr>
        <w:rPr>
          <w:rFonts w:ascii="Times New Roman" w:hAnsi="Times New Roman"/>
          <w:color w:val="000000"/>
        </w:rPr>
      </w:pPr>
      <w:bookmarkStart w:id="6" w:name="41357"/>
      <w:bookmarkEnd w:id="6"/>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4.Право на получение патента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7" w:name="413571"/>
      <w:bookmarkEnd w:id="7"/>
      <w:r w:rsidRPr="00D166EF">
        <w:rPr>
          <w:rFonts w:ascii="Times New Roman" w:hAnsi="Times New Roman"/>
          <w:color w:val="000000"/>
        </w:rPr>
        <w:t>Право на получение патента на изобретение, полезную модель или промышленный образец первоначально принадлежит автору изобретения, полезной модели или промышленного образца.</w:t>
      </w:r>
    </w:p>
    <w:p w:rsidR="00D166EF" w:rsidRPr="00D166EF" w:rsidRDefault="00D166EF" w:rsidP="00D166EF">
      <w:pPr>
        <w:ind w:firstLine="720"/>
        <w:rPr>
          <w:rFonts w:ascii="Times New Roman" w:hAnsi="Times New Roman"/>
          <w:color w:val="000000"/>
        </w:rPr>
      </w:pPr>
      <w:bookmarkStart w:id="8" w:name="413572"/>
      <w:bookmarkEnd w:id="8"/>
      <w:r w:rsidRPr="00D166EF">
        <w:rPr>
          <w:rFonts w:ascii="Times New Roman" w:hAnsi="Times New Roman"/>
          <w:color w:val="000000"/>
        </w:rPr>
        <w:t xml:space="preserve"> Право на получение патента на изобретение, полезную модель или промышленный образец может перейти к другому лицу (правопреемнику) или быть ему передано в случаях и по основаниям, которые установлены законом, в том числе в порядке универсального правопреемства, или по договору, в том числе по трудовому договору.</w:t>
      </w:r>
    </w:p>
    <w:p w:rsidR="00D166EF" w:rsidRPr="00D166EF" w:rsidRDefault="00D166EF" w:rsidP="00D166EF">
      <w:pPr>
        <w:ind w:firstLine="720"/>
        <w:rPr>
          <w:rFonts w:ascii="Times New Roman" w:hAnsi="Times New Roman"/>
          <w:color w:val="000000"/>
        </w:rPr>
      </w:pPr>
      <w:bookmarkStart w:id="9" w:name="413573"/>
      <w:bookmarkEnd w:id="9"/>
      <w:r w:rsidRPr="00D166EF">
        <w:rPr>
          <w:rFonts w:ascii="Times New Roman" w:hAnsi="Times New Roman"/>
          <w:color w:val="000000"/>
        </w:rPr>
        <w:lastRenderedPageBreak/>
        <w:t xml:space="preserve"> Договор об отчуждении права на получение патента на изобретение, полезную модель или промышленный образец должен быть заключен в письменной форме. Несоблюдение письменной формы влечет недействительность договора.</w:t>
      </w:r>
    </w:p>
    <w:p w:rsidR="00D166EF" w:rsidRPr="00D166EF" w:rsidRDefault="00D166EF" w:rsidP="00D166EF">
      <w:pPr>
        <w:ind w:firstLine="720"/>
        <w:rPr>
          <w:rFonts w:ascii="Times New Roman" w:hAnsi="Times New Roman"/>
          <w:color w:val="000000"/>
        </w:rPr>
      </w:pPr>
      <w:bookmarkStart w:id="10" w:name="413574"/>
      <w:bookmarkEnd w:id="10"/>
      <w:r w:rsidRPr="00D166EF">
        <w:rPr>
          <w:rFonts w:ascii="Times New Roman" w:hAnsi="Times New Roman"/>
          <w:color w:val="000000"/>
        </w:rPr>
        <w:t xml:space="preserve"> Если соглашением сторон договора об отчуждении права на получение патента на изобретение, полезную модель или промышленный образец не предусмотрено иное, риск </w:t>
      </w:r>
      <w:proofErr w:type="spellStart"/>
      <w:r w:rsidRPr="00D166EF">
        <w:rPr>
          <w:rFonts w:ascii="Times New Roman" w:hAnsi="Times New Roman"/>
          <w:color w:val="000000"/>
        </w:rPr>
        <w:t>непатентоспособности</w:t>
      </w:r>
      <w:proofErr w:type="spellEnd"/>
      <w:r w:rsidRPr="00D166EF">
        <w:rPr>
          <w:rFonts w:ascii="Times New Roman" w:hAnsi="Times New Roman"/>
          <w:color w:val="000000"/>
        </w:rPr>
        <w:t xml:space="preserve"> несет приобретатель такого права.</w:t>
      </w:r>
    </w:p>
    <w:p w:rsidR="00D166EF" w:rsidRPr="00D166EF" w:rsidRDefault="00D166EF" w:rsidP="00D166EF">
      <w:pPr>
        <w:rPr>
          <w:rFonts w:ascii="Times New Roman" w:hAnsi="Times New Roman"/>
          <w:color w:val="000000"/>
          <w:u w:val="single"/>
        </w:rPr>
      </w:pPr>
      <w:bookmarkStart w:id="11" w:name="41358"/>
      <w:bookmarkEnd w:id="11"/>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5. Исключительное право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12" w:name="413581"/>
      <w:bookmarkEnd w:id="12"/>
      <w:r w:rsidRPr="00D166EF">
        <w:rPr>
          <w:rFonts w:ascii="Times New Roman" w:hAnsi="Times New Roman"/>
          <w:color w:val="000000"/>
        </w:rPr>
        <w:t xml:space="preserve"> Патентообладателю принадлежит исключительное право использования изобретения, полезной модели или промышленного образца. Патентообладатель может распоряжаться исключительным правом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13" w:name="413582"/>
      <w:bookmarkEnd w:id="13"/>
      <w:r w:rsidRPr="00D166EF">
        <w:rPr>
          <w:rFonts w:ascii="Times New Roman" w:hAnsi="Times New Roman"/>
          <w:color w:val="000000"/>
        </w:rPr>
        <w:t xml:space="preserve"> Использованием изобретения, полезной модели или промышленного образца считается, в частности:</w:t>
      </w:r>
    </w:p>
    <w:p w:rsidR="00D166EF" w:rsidRPr="00D166EF" w:rsidRDefault="00D166EF" w:rsidP="00D166EF">
      <w:pPr>
        <w:ind w:firstLine="720"/>
        <w:rPr>
          <w:rFonts w:ascii="Times New Roman" w:hAnsi="Times New Roman"/>
          <w:color w:val="000000"/>
        </w:rPr>
      </w:pPr>
      <w:bookmarkStart w:id="14" w:name="4135821"/>
      <w:bookmarkEnd w:id="14"/>
      <w:r w:rsidRPr="00D166EF">
        <w:rPr>
          <w:rFonts w:ascii="Times New Roman" w:hAnsi="Times New Roman"/>
          <w:color w:val="000000"/>
        </w:rPr>
        <w:t>1) ввоз на территорию Российской Федерации, изготовление,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w:t>
      </w:r>
    </w:p>
    <w:p w:rsidR="00D166EF" w:rsidRPr="00D166EF" w:rsidRDefault="00D166EF" w:rsidP="00D166EF">
      <w:pPr>
        <w:ind w:firstLine="720"/>
        <w:rPr>
          <w:rFonts w:ascii="Times New Roman" w:hAnsi="Times New Roman"/>
          <w:color w:val="000000"/>
        </w:rPr>
      </w:pPr>
      <w:bookmarkStart w:id="15" w:name="4135822"/>
      <w:bookmarkEnd w:id="15"/>
      <w:r w:rsidRPr="00D166EF">
        <w:rPr>
          <w:rFonts w:ascii="Times New Roman" w:hAnsi="Times New Roman"/>
          <w:color w:val="000000"/>
        </w:rPr>
        <w:t>2) совершение действий в отношении продукта, полученного непосредственно запатентованным способом. Если продукт, получаемый запатентованным способом, является новым, идентичный продукт считается полученным путем использования запатентованного способа, поскольку не доказано иное;</w:t>
      </w:r>
    </w:p>
    <w:p w:rsidR="00D166EF" w:rsidRPr="00D166EF" w:rsidRDefault="00D166EF" w:rsidP="00D166EF">
      <w:pPr>
        <w:ind w:firstLine="720"/>
        <w:rPr>
          <w:rFonts w:ascii="Times New Roman" w:hAnsi="Times New Roman"/>
          <w:color w:val="000000"/>
        </w:rPr>
      </w:pPr>
      <w:bookmarkStart w:id="16" w:name="4135823"/>
      <w:bookmarkEnd w:id="16"/>
      <w:r w:rsidRPr="00D166EF">
        <w:rPr>
          <w:rFonts w:ascii="Times New Roman" w:hAnsi="Times New Roman"/>
          <w:color w:val="000000"/>
        </w:rPr>
        <w:t>3) совершение действий в отношении устройства, при функционировании (эксплуатации) которого в соответствии с его назначением автоматически осуществляется запатентованный способ;</w:t>
      </w:r>
    </w:p>
    <w:p w:rsidR="00D166EF" w:rsidRPr="00D166EF" w:rsidRDefault="00D166EF" w:rsidP="00D166EF">
      <w:pPr>
        <w:ind w:firstLine="720"/>
        <w:rPr>
          <w:rFonts w:ascii="Times New Roman" w:hAnsi="Times New Roman"/>
          <w:color w:val="000000"/>
        </w:rPr>
      </w:pPr>
      <w:bookmarkStart w:id="17" w:name="4135824"/>
      <w:bookmarkEnd w:id="17"/>
      <w:r w:rsidRPr="00D166EF">
        <w:rPr>
          <w:rFonts w:ascii="Times New Roman" w:hAnsi="Times New Roman"/>
          <w:color w:val="000000"/>
        </w:rPr>
        <w:t>4) осуществление способа, в котором используется изобретение, в частности путем применения этого способа.</w:t>
      </w:r>
    </w:p>
    <w:p w:rsidR="00D166EF" w:rsidRPr="00D166EF" w:rsidRDefault="00D166EF" w:rsidP="00D166EF">
      <w:pPr>
        <w:ind w:firstLine="720"/>
        <w:rPr>
          <w:rFonts w:ascii="Times New Roman" w:hAnsi="Times New Roman"/>
          <w:color w:val="000000"/>
        </w:rPr>
      </w:pPr>
      <w:bookmarkStart w:id="18" w:name="413583"/>
      <w:bookmarkEnd w:id="18"/>
      <w:r w:rsidRPr="00D166EF">
        <w:rPr>
          <w:rFonts w:ascii="Times New Roman" w:hAnsi="Times New Roman"/>
          <w:color w:val="000000"/>
        </w:rPr>
        <w:t xml:space="preserve">Изобретение или полезная модель признаются использованными в продукте или способе, если продукт содержит, а в способе использован каждый признак </w:t>
      </w:r>
      <w:r w:rsidRPr="00D166EF">
        <w:rPr>
          <w:rFonts w:ascii="Times New Roman" w:hAnsi="Times New Roman"/>
          <w:color w:val="000000"/>
        </w:rPr>
        <w:lastRenderedPageBreak/>
        <w:t>изобретения или полезной модели, приведенный в независимом пункте содержащейся в патенте формулы изобретения или полезной модели, либо признак, эквивалентный ему и ставший известным в качестве такового в данной области техники до совершения в отношении соответствующего продукта или способа действий</w:t>
      </w:r>
      <w:bookmarkStart w:id="19" w:name="4135832"/>
      <w:bookmarkEnd w:id="19"/>
      <w:r w:rsidRPr="00D166EF">
        <w:rPr>
          <w:rFonts w:ascii="Times New Roman" w:hAnsi="Times New Roman"/>
          <w:color w:val="000000"/>
        </w:rPr>
        <w:t>.</w:t>
      </w:r>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 xml:space="preserve">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w:t>
      </w:r>
      <w:bookmarkStart w:id="20" w:name="4135833"/>
      <w:bookmarkEnd w:id="20"/>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Если при использовании изобретения или полезной модели используются также все признаки, приведенные в независимом пункте содержащейся в патенте формулы другого изобретения или другой полезной модели, а при использовании промышленного образца - все признаки, приведенные в перечне существенных признаков другого промышленного образца, другое изобретение, другая полезная модель или другой промышленный образец также признаются использованными.</w:t>
      </w:r>
    </w:p>
    <w:p w:rsidR="00D166EF" w:rsidRPr="00D166EF" w:rsidRDefault="00D166EF" w:rsidP="00D166EF">
      <w:pPr>
        <w:ind w:firstLine="227"/>
        <w:rPr>
          <w:rFonts w:ascii="Times New Roman" w:hAnsi="Times New Roman"/>
          <w:bCs/>
          <w:color w:val="000000"/>
          <w:u w:val="single"/>
        </w:rPr>
      </w:pPr>
      <w:bookmarkStart w:id="21" w:name="413584"/>
      <w:bookmarkEnd w:id="21"/>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6.Действия, не являющиеся нарушением исключительного права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r w:rsidRPr="00D166EF">
        <w:rPr>
          <w:rFonts w:ascii="Times New Roman" w:hAnsi="Times New Roman"/>
          <w:color w:val="000000"/>
        </w:rPr>
        <w:t>Не являются нарушением исключительного права на изобретение, полезную модель или промышленный образец:</w:t>
      </w:r>
    </w:p>
    <w:p w:rsidR="00D166EF" w:rsidRPr="00D166EF" w:rsidRDefault="00D166EF" w:rsidP="00D166EF">
      <w:pPr>
        <w:ind w:firstLine="720"/>
        <w:rPr>
          <w:rFonts w:ascii="Times New Roman" w:hAnsi="Times New Roman"/>
          <w:color w:val="000000"/>
        </w:rPr>
      </w:pPr>
      <w:bookmarkStart w:id="22" w:name="413591"/>
      <w:bookmarkEnd w:id="22"/>
      <w:r w:rsidRPr="00D166EF">
        <w:rPr>
          <w:rFonts w:ascii="Times New Roman" w:hAnsi="Times New Roman"/>
          <w:color w:val="000000"/>
        </w:rPr>
        <w:t>1) применение продукта, в котором использованы изобретение или полезная модель, и применение изделия, в котором использован промышленный образец, в конструкции, во вспомогательном оборудовании либо при эксплуатации транспортных средств (водного, воздушного, автомобильного и железнодорожного транспорта) или космической техники иностранных государств при условии, что эти транспортные средства или эта космическая техника временно или случайно находятся на территории Российской Федерации и указанные продукт или изделие применяются исключительно для нужд транспортных средств или космической техники. Такое действие не признается нарушением исключительного права в отношении транспортных средств или космической техники тех иностранных государств, которые предоставляют такие же права в отношении транспортных средств или космической техники, зарегистрированных в Российской Федерации;</w:t>
      </w:r>
    </w:p>
    <w:p w:rsidR="00D166EF" w:rsidRPr="00D166EF" w:rsidRDefault="00D166EF" w:rsidP="00D166EF">
      <w:pPr>
        <w:ind w:firstLine="720"/>
        <w:rPr>
          <w:rFonts w:ascii="Times New Roman" w:hAnsi="Times New Roman"/>
          <w:color w:val="000000"/>
        </w:rPr>
      </w:pPr>
      <w:bookmarkStart w:id="23" w:name="413592"/>
      <w:bookmarkEnd w:id="23"/>
      <w:r w:rsidRPr="00D166EF">
        <w:rPr>
          <w:rFonts w:ascii="Times New Roman" w:hAnsi="Times New Roman"/>
          <w:color w:val="000000"/>
        </w:rPr>
        <w:t xml:space="preserve">2) проведение научного исследования продукта или способа, в которых использованы изобретение или полезная модель, либо научного исследования </w:t>
      </w:r>
      <w:r w:rsidRPr="00D166EF">
        <w:rPr>
          <w:rFonts w:ascii="Times New Roman" w:hAnsi="Times New Roman"/>
          <w:color w:val="000000"/>
        </w:rPr>
        <w:lastRenderedPageBreak/>
        <w:t>изделия, в котором использован промышленный образец, либо проведение эксперимента над такими продуктом, способом или изделием;</w:t>
      </w:r>
    </w:p>
    <w:p w:rsidR="00D166EF" w:rsidRPr="00D166EF" w:rsidRDefault="00D166EF" w:rsidP="00D166EF">
      <w:pPr>
        <w:ind w:firstLine="720"/>
        <w:rPr>
          <w:rFonts w:ascii="Times New Roman" w:hAnsi="Times New Roman"/>
          <w:color w:val="000000"/>
        </w:rPr>
      </w:pPr>
      <w:bookmarkStart w:id="24" w:name="413593"/>
      <w:bookmarkEnd w:id="24"/>
      <w:r w:rsidRPr="00D166EF">
        <w:rPr>
          <w:rFonts w:ascii="Times New Roman" w:hAnsi="Times New Roman"/>
          <w:color w:val="000000"/>
        </w:rPr>
        <w:t>3) использование изобретения, полезной модели или промышленного образца при чрезвычайных обстоятельствах (стихийных бедствиях, катастрофах, авариях) с уведомлением о таком использовании патентообладателя в кратчайший срок и с последующей выплатой ему соразмерной компенсации;</w:t>
      </w:r>
    </w:p>
    <w:p w:rsidR="00D166EF" w:rsidRPr="00D166EF" w:rsidRDefault="00D166EF" w:rsidP="00D166EF">
      <w:pPr>
        <w:ind w:firstLine="720"/>
        <w:rPr>
          <w:rFonts w:ascii="Times New Roman" w:hAnsi="Times New Roman"/>
          <w:color w:val="000000"/>
        </w:rPr>
      </w:pPr>
      <w:bookmarkStart w:id="25" w:name="413594"/>
      <w:bookmarkEnd w:id="25"/>
      <w:r w:rsidRPr="00D166EF">
        <w:rPr>
          <w:rFonts w:ascii="Times New Roman" w:hAnsi="Times New Roman"/>
          <w:color w:val="000000"/>
        </w:rPr>
        <w:t>4) использование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является получение прибыли или дохода;</w:t>
      </w:r>
    </w:p>
    <w:p w:rsidR="00D166EF" w:rsidRPr="00D166EF" w:rsidRDefault="00D166EF" w:rsidP="00D166EF">
      <w:pPr>
        <w:ind w:firstLine="720"/>
        <w:rPr>
          <w:rFonts w:ascii="Times New Roman" w:hAnsi="Times New Roman"/>
          <w:color w:val="000000"/>
        </w:rPr>
      </w:pPr>
      <w:bookmarkStart w:id="26" w:name="413595"/>
      <w:bookmarkEnd w:id="26"/>
      <w:r w:rsidRPr="00D166EF">
        <w:rPr>
          <w:rFonts w:ascii="Times New Roman" w:hAnsi="Times New Roman"/>
          <w:color w:val="000000"/>
        </w:rPr>
        <w:t>5) разовое изготовление в аптеках по рецептам врачей лекарственных средств с использованием изобретения;</w:t>
      </w:r>
    </w:p>
    <w:p w:rsidR="00D166EF" w:rsidRPr="00D166EF" w:rsidRDefault="00D166EF" w:rsidP="00D166EF">
      <w:pPr>
        <w:ind w:firstLine="720"/>
        <w:rPr>
          <w:rFonts w:ascii="Times New Roman" w:hAnsi="Times New Roman"/>
          <w:color w:val="000000"/>
        </w:rPr>
      </w:pPr>
      <w:bookmarkStart w:id="27" w:name="413596"/>
      <w:bookmarkEnd w:id="27"/>
      <w:r w:rsidRPr="00D166EF">
        <w:rPr>
          <w:rFonts w:ascii="Times New Roman" w:hAnsi="Times New Roman"/>
          <w:color w:val="000000"/>
        </w:rPr>
        <w:t>6) ввоз на территорию Российской Федерации, применение, предложение о продаже, продажа, иное введение в гражданский оборот или хранение для этих целей продукта, в котором использованы изобретение или полезная модель, либо изделия, в котором использован промышленный образец, если этот продукт или это изделие ранее были введены в гражданский оборот на территории Российской Федерации патентообладателем или иным лицом с разрешения патентообладателя.</w:t>
      </w:r>
    </w:p>
    <w:p w:rsidR="00D166EF" w:rsidRPr="00D166EF" w:rsidRDefault="00D166EF" w:rsidP="00D166EF">
      <w:pPr>
        <w:ind w:firstLine="227"/>
        <w:rPr>
          <w:rFonts w:ascii="Times New Roman" w:hAnsi="Times New Roman"/>
          <w:bCs/>
          <w:color w:val="000000"/>
          <w:u w:val="single"/>
        </w:rPr>
      </w:pPr>
    </w:p>
    <w:p w:rsidR="00D166EF" w:rsidRPr="00D166EF" w:rsidRDefault="00D166EF" w:rsidP="00D166EF">
      <w:pPr>
        <w:rPr>
          <w:rFonts w:ascii="Times New Roman" w:hAnsi="Times New Roman"/>
          <w:color w:val="000000"/>
          <w:u w:val="single"/>
        </w:rPr>
      </w:pPr>
      <w:r w:rsidRPr="00D166EF">
        <w:rPr>
          <w:rFonts w:ascii="Times New Roman" w:hAnsi="Times New Roman"/>
          <w:color w:val="000000"/>
          <w:u w:val="single"/>
        </w:rPr>
        <w:t>7. Сроки действия исключительных прав на изобретение, полезную модель и промышленный образец</w:t>
      </w:r>
    </w:p>
    <w:p w:rsidR="00D166EF" w:rsidRPr="00D166EF" w:rsidRDefault="00D166EF" w:rsidP="00D166EF">
      <w:pPr>
        <w:ind w:firstLine="720"/>
        <w:rPr>
          <w:rFonts w:ascii="Times New Roman" w:hAnsi="Times New Roman"/>
          <w:color w:val="000000"/>
        </w:rPr>
      </w:pPr>
      <w:bookmarkStart w:id="28" w:name="413631"/>
      <w:bookmarkEnd w:id="28"/>
      <w:r w:rsidRPr="00D166EF">
        <w:rPr>
          <w:rFonts w:ascii="Times New Roman" w:hAnsi="Times New Roman"/>
          <w:color w:val="000000"/>
        </w:rPr>
        <w:t>Срок действия исключительного права на изобретение, полезную модель, промышленный образец и удостоверяющего это право патента исчисляется со дня подачи первоначальной заявки на выдачу патента в федеральный орган исполнительной власти по интеллектуальной собственности и при условии соблюдения требований, установленных настоящим Кодексом, составляет:</w:t>
      </w:r>
    </w:p>
    <w:p w:rsidR="00D166EF" w:rsidRPr="00D166EF" w:rsidRDefault="00D166EF" w:rsidP="00D166EF">
      <w:pPr>
        <w:ind w:firstLine="720"/>
        <w:rPr>
          <w:rFonts w:ascii="Times New Roman" w:hAnsi="Times New Roman"/>
          <w:color w:val="000000"/>
        </w:rPr>
      </w:pPr>
      <w:bookmarkStart w:id="29" w:name="4136322"/>
      <w:bookmarkEnd w:id="29"/>
      <w:r w:rsidRPr="00D166EF">
        <w:rPr>
          <w:rFonts w:ascii="Times New Roman" w:hAnsi="Times New Roman"/>
          <w:color w:val="000000"/>
        </w:rPr>
        <w:t>двадцать лет - для изобретений;</w:t>
      </w:r>
    </w:p>
    <w:p w:rsidR="00D166EF" w:rsidRPr="00D166EF" w:rsidRDefault="00D166EF" w:rsidP="00D166EF">
      <w:pPr>
        <w:ind w:firstLine="720"/>
        <w:rPr>
          <w:rFonts w:ascii="Times New Roman" w:hAnsi="Times New Roman"/>
          <w:color w:val="000000"/>
        </w:rPr>
      </w:pPr>
      <w:bookmarkStart w:id="30" w:name="4136323"/>
      <w:bookmarkEnd w:id="30"/>
      <w:r w:rsidRPr="00D166EF">
        <w:rPr>
          <w:rFonts w:ascii="Times New Roman" w:hAnsi="Times New Roman"/>
          <w:color w:val="000000"/>
        </w:rPr>
        <w:t>десять лет - для полезных моделей;</w:t>
      </w:r>
    </w:p>
    <w:p w:rsidR="00D166EF" w:rsidRPr="00D166EF" w:rsidRDefault="00D166EF" w:rsidP="00D166EF">
      <w:pPr>
        <w:ind w:firstLine="720"/>
        <w:rPr>
          <w:rFonts w:ascii="Times New Roman" w:hAnsi="Times New Roman"/>
          <w:color w:val="000000"/>
        </w:rPr>
      </w:pPr>
      <w:bookmarkStart w:id="31" w:name="4136324"/>
      <w:bookmarkEnd w:id="31"/>
      <w:r w:rsidRPr="00D166EF">
        <w:rPr>
          <w:rFonts w:ascii="Times New Roman" w:hAnsi="Times New Roman"/>
          <w:color w:val="000000"/>
        </w:rPr>
        <w:t>пятнадцать лет - для промышленных образцов.</w:t>
      </w:r>
    </w:p>
    <w:p w:rsidR="00D166EF" w:rsidRPr="00D166EF" w:rsidRDefault="00D166EF" w:rsidP="00D166EF">
      <w:pPr>
        <w:ind w:firstLine="720"/>
        <w:rPr>
          <w:rFonts w:ascii="Times New Roman" w:hAnsi="Times New Roman"/>
          <w:color w:val="000000"/>
        </w:rPr>
      </w:pPr>
      <w:bookmarkStart w:id="32" w:name="4136325"/>
      <w:bookmarkEnd w:id="32"/>
      <w:r w:rsidRPr="00D166EF">
        <w:rPr>
          <w:rFonts w:ascii="Times New Roman" w:hAnsi="Times New Roman"/>
          <w:color w:val="000000"/>
        </w:rPr>
        <w:t xml:space="preserve">Защита исключительного права, удостоверенного патентом, может быть осуществлена лишь после государственной регистрации изобретения, полезной модели или промышленного образца и выдачи </w:t>
      </w:r>
      <w:proofErr w:type="gramStart"/>
      <w:r w:rsidRPr="00D166EF">
        <w:rPr>
          <w:rFonts w:ascii="Times New Roman" w:hAnsi="Times New Roman"/>
          <w:color w:val="000000"/>
        </w:rPr>
        <w:t>патента .</w:t>
      </w:r>
      <w:proofErr w:type="gramEnd"/>
    </w:p>
    <w:p w:rsidR="00D166EF" w:rsidRPr="00D166EF" w:rsidRDefault="00D166EF" w:rsidP="00D166EF">
      <w:pPr>
        <w:ind w:firstLine="720"/>
        <w:rPr>
          <w:rFonts w:ascii="Times New Roman" w:hAnsi="Times New Roman"/>
          <w:color w:val="000000"/>
        </w:rPr>
      </w:pPr>
      <w:bookmarkStart w:id="33" w:name="413632"/>
      <w:bookmarkEnd w:id="33"/>
      <w:r w:rsidRPr="00D166EF">
        <w:rPr>
          <w:rFonts w:ascii="Times New Roman" w:hAnsi="Times New Roman"/>
          <w:color w:val="000000"/>
        </w:rPr>
        <w:lastRenderedPageBreak/>
        <w:t xml:space="preserve"> Если со дня подачи заявки на выдачу патента на изобретение, относящееся к лекарственному средству, пестициду или </w:t>
      </w:r>
      <w:proofErr w:type="spellStart"/>
      <w:r w:rsidRPr="00D166EF">
        <w:rPr>
          <w:rFonts w:ascii="Times New Roman" w:hAnsi="Times New Roman"/>
          <w:color w:val="000000"/>
        </w:rPr>
        <w:t>агрохимикату</w:t>
      </w:r>
      <w:proofErr w:type="spellEnd"/>
      <w:r w:rsidRPr="00D166EF">
        <w:rPr>
          <w:rFonts w:ascii="Times New Roman" w:hAnsi="Times New Roman"/>
          <w:color w:val="000000"/>
        </w:rPr>
        <w:t>, для применения которых требуется получение в установленном законом порядке разрешения, до дня получения первого разрешения на его применение прошло более пяти лет, срок действия исключительного права на соответствующее изобретение и удостоверяющего это право патента продлевается по заявлению патентообладателя федеральным органом исполнительной власти по интеллектуальной собственности. Указанный срок продлевается на время, прошедшее со дня подачи заявки на выдачу патента на изобретение до дня получения первого разрешения на применение изобретения, за вычетом пяти лет. При этом срок действия патента на изобретение не может быть продлен более чем на пять лет.</w:t>
      </w:r>
    </w:p>
    <w:p w:rsidR="00D166EF" w:rsidRPr="00D166EF" w:rsidRDefault="00D166EF" w:rsidP="00D166EF">
      <w:pPr>
        <w:ind w:firstLine="720"/>
        <w:rPr>
          <w:rFonts w:ascii="Times New Roman" w:hAnsi="Times New Roman"/>
          <w:color w:val="000000"/>
        </w:rPr>
      </w:pPr>
      <w:bookmarkStart w:id="34" w:name="136322"/>
      <w:bookmarkEnd w:id="34"/>
      <w:r w:rsidRPr="00D166EF">
        <w:rPr>
          <w:rFonts w:ascii="Times New Roman" w:hAnsi="Times New Roman"/>
          <w:color w:val="000000"/>
        </w:rPr>
        <w:t>Заявление о продлении срока подается патентообладателем в период действия патента до истечения шести месяцев с даты получения разрешения на применение изобретения или даты выдачи патента в зависимости от того, какой из этих сроков истекает позднее.</w:t>
      </w:r>
    </w:p>
    <w:p w:rsidR="00D166EF" w:rsidRPr="00D166EF" w:rsidRDefault="00D166EF" w:rsidP="00D166EF">
      <w:pPr>
        <w:ind w:firstLine="720"/>
        <w:rPr>
          <w:rFonts w:ascii="Times New Roman" w:hAnsi="Times New Roman"/>
          <w:color w:val="000000"/>
        </w:rPr>
      </w:pPr>
      <w:bookmarkStart w:id="35" w:name="413633"/>
      <w:bookmarkEnd w:id="35"/>
      <w:r w:rsidRPr="00D166EF">
        <w:rPr>
          <w:rFonts w:ascii="Times New Roman" w:hAnsi="Times New Roman"/>
          <w:color w:val="000000"/>
        </w:rPr>
        <w:t>Срок действия исключительного права на полезную модель и удостоверяющего это право патента продлевается федеральным органом исполнительной власти по интеллектуальной собственности по заявлению патентообладателя на срок, указанный в заявлении, но не более чем на три года, а исключительного права на промышленный образец и удостоверяющего это право патента - на срок, указанный в заявлении, но не более чем на десять лет.</w:t>
      </w:r>
    </w:p>
    <w:p w:rsidR="00D166EF" w:rsidRPr="00D166EF" w:rsidRDefault="00D166EF" w:rsidP="00D166EF">
      <w:pPr>
        <w:ind w:firstLine="720"/>
        <w:rPr>
          <w:rFonts w:ascii="Times New Roman" w:hAnsi="Times New Roman"/>
          <w:color w:val="000000"/>
        </w:rPr>
      </w:pPr>
      <w:bookmarkStart w:id="36" w:name="413634"/>
      <w:bookmarkEnd w:id="36"/>
      <w:r w:rsidRPr="00D166EF">
        <w:rPr>
          <w:rFonts w:ascii="Times New Roman" w:hAnsi="Times New Roman"/>
          <w:color w:val="000000"/>
        </w:rPr>
        <w:t>Порядок продления срока действия патента на изобретение, полезную модель или промышленный образец устанавливается федеральным органом исполнительной власти, осуществляющим нормативно-правовое регулирование в сфере интеллектуальной собственности.</w:t>
      </w:r>
    </w:p>
    <w:p w:rsidR="00D166EF" w:rsidRPr="00D166EF" w:rsidRDefault="00D166EF" w:rsidP="00D166EF">
      <w:pPr>
        <w:rPr>
          <w:rFonts w:ascii="Times New Roman" w:hAnsi="Times New Roman"/>
          <w:color w:val="000000"/>
          <w:u w:val="single"/>
        </w:rPr>
      </w:pPr>
      <w:bookmarkStart w:id="37" w:name="413635"/>
      <w:bookmarkStart w:id="38" w:name="41364"/>
      <w:bookmarkEnd w:id="37"/>
      <w:bookmarkEnd w:id="38"/>
      <w:r w:rsidRPr="00D166EF">
        <w:rPr>
          <w:rFonts w:ascii="Times New Roman" w:hAnsi="Times New Roman"/>
          <w:color w:val="000000"/>
          <w:u w:val="single"/>
        </w:rPr>
        <w:t>8.Переход изобретения, полезной модели или промышленного образца в общественное достояние</w:t>
      </w:r>
    </w:p>
    <w:p w:rsidR="00D166EF" w:rsidRPr="00D166EF" w:rsidRDefault="00D166EF" w:rsidP="00D166EF">
      <w:pPr>
        <w:ind w:firstLine="720"/>
        <w:rPr>
          <w:rFonts w:ascii="Times New Roman" w:hAnsi="Times New Roman"/>
          <w:color w:val="000000"/>
        </w:rPr>
      </w:pPr>
      <w:bookmarkStart w:id="39" w:name="413641"/>
      <w:bookmarkEnd w:id="39"/>
      <w:r w:rsidRPr="00D166EF">
        <w:rPr>
          <w:rFonts w:ascii="Times New Roman" w:hAnsi="Times New Roman"/>
          <w:color w:val="000000"/>
        </w:rPr>
        <w:t>По истечении срока действия исключительного права изобретение, полезная модель или промышленный образец переходит в общественное достояние.</w:t>
      </w:r>
    </w:p>
    <w:p w:rsidR="00D166EF" w:rsidRPr="00D166EF" w:rsidRDefault="00D166EF" w:rsidP="00D166EF">
      <w:pPr>
        <w:ind w:firstLine="720"/>
        <w:rPr>
          <w:rFonts w:ascii="Times New Roman" w:hAnsi="Times New Roman"/>
          <w:color w:val="000000"/>
        </w:rPr>
      </w:pPr>
      <w:bookmarkStart w:id="40" w:name="413642"/>
      <w:bookmarkEnd w:id="40"/>
      <w:r w:rsidRPr="00D166EF">
        <w:rPr>
          <w:rFonts w:ascii="Times New Roman" w:hAnsi="Times New Roman"/>
          <w:color w:val="000000"/>
        </w:rPr>
        <w:t xml:space="preserve"> Изобретение, полезная модель или промышленный образец, перешедшие в общественное достояние, могут свободно использоваться любым лицом без чьего-либо согласия или разрешения и без выплаты вознаграждения за использование.</w:t>
      </w:r>
    </w:p>
    <w:p w:rsidR="00486A48" w:rsidRDefault="00486A48" w:rsidP="002B7A4C">
      <w:pPr>
        <w:spacing w:line="240" w:lineRule="auto"/>
        <w:jc w:val="center"/>
        <w:rPr>
          <w:rFonts w:ascii="Times New Roman" w:hAnsi="Times New Roman"/>
          <w:bCs/>
          <w:color w:val="000000"/>
          <w:szCs w:val="28"/>
        </w:rPr>
      </w:pPr>
    </w:p>
    <w:p w:rsidR="00D166EF" w:rsidRDefault="00D166EF" w:rsidP="00486A48">
      <w:pPr>
        <w:spacing w:line="240" w:lineRule="auto"/>
        <w:jc w:val="center"/>
        <w:rPr>
          <w:rFonts w:ascii="Times New Roman" w:hAnsi="Times New Roman"/>
          <w:bCs/>
          <w:color w:val="000000"/>
          <w:szCs w:val="28"/>
        </w:rPr>
      </w:pPr>
    </w:p>
    <w:p w:rsidR="00D166EF" w:rsidRDefault="00D166EF" w:rsidP="00486A48">
      <w:pPr>
        <w:spacing w:line="240" w:lineRule="auto"/>
        <w:jc w:val="center"/>
        <w:rPr>
          <w:rFonts w:ascii="Times New Roman" w:hAnsi="Times New Roman"/>
          <w:bCs/>
          <w:color w:val="000000"/>
          <w:szCs w:val="28"/>
        </w:rPr>
      </w:pPr>
    </w:p>
    <w:p w:rsidR="00D166EF" w:rsidRDefault="00D166EF" w:rsidP="00486A48">
      <w:pPr>
        <w:spacing w:line="240" w:lineRule="auto"/>
        <w:jc w:val="center"/>
        <w:rPr>
          <w:rFonts w:ascii="Times New Roman" w:hAnsi="Times New Roman"/>
          <w:bCs/>
          <w:color w:val="000000"/>
          <w:szCs w:val="28"/>
        </w:rPr>
      </w:pPr>
    </w:p>
    <w:p w:rsidR="00D166EF" w:rsidRDefault="00D166EF" w:rsidP="00486A48">
      <w:pPr>
        <w:spacing w:line="240" w:lineRule="auto"/>
        <w:jc w:val="center"/>
        <w:rPr>
          <w:rFonts w:ascii="Times New Roman" w:hAnsi="Times New Roman"/>
          <w:bCs/>
          <w:color w:val="000000"/>
          <w:szCs w:val="28"/>
        </w:rPr>
      </w:pPr>
    </w:p>
    <w:p w:rsidR="00D166EF" w:rsidRDefault="00D166EF" w:rsidP="00486A48">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D166EF" w:rsidRDefault="00D166EF" w:rsidP="00D166EF">
      <w:pPr>
        <w:spacing w:line="240" w:lineRule="auto"/>
        <w:rPr>
          <w:rFonts w:ascii="Times New Roman" w:hAnsi="Times New Roman"/>
          <w:szCs w:val="28"/>
        </w:rPr>
      </w:pPr>
      <w:r w:rsidRPr="00D166EF">
        <w:rPr>
          <w:rFonts w:ascii="Times New Roman" w:hAnsi="Times New Roman"/>
          <w:szCs w:val="28"/>
        </w:rPr>
        <w:t>Изучить условия прохождения гос</w:t>
      </w:r>
      <w:r>
        <w:rPr>
          <w:rFonts w:ascii="Times New Roman" w:hAnsi="Times New Roman"/>
          <w:szCs w:val="28"/>
        </w:rPr>
        <w:t>ударственной регистрации изобре</w:t>
      </w:r>
      <w:r w:rsidRPr="00D166EF">
        <w:rPr>
          <w:rFonts w:ascii="Times New Roman" w:hAnsi="Times New Roman"/>
          <w:szCs w:val="28"/>
        </w:rPr>
        <w:t>тения, полезной модели и промышленного образца.</w:t>
      </w:r>
      <w:r>
        <w:rPr>
          <w:rFonts w:ascii="Times New Roman" w:hAnsi="Times New Roman"/>
          <w:szCs w:val="28"/>
        </w:rPr>
        <w:t xml:space="preserve"> </w:t>
      </w:r>
      <w:r w:rsidRPr="00D166EF">
        <w:rPr>
          <w:rFonts w:ascii="Times New Roman" w:hAnsi="Times New Roman"/>
          <w:szCs w:val="28"/>
        </w:rPr>
        <w:t>Изучить сроки действи</w:t>
      </w:r>
      <w:r>
        <w:rPr>
          <w:rFonts w:ascii="Times New Roman" w:hAnsi="Times New Roman"/>
          <w:szCs w:val="28"/>
        </w:rPr>
        <w:t>я исключительных прав на изобре</w:t>
      </w:r>
      <w:r w:rsidRPr="00D166EF">
        <w:rPr>
          <w:rFonts w:ascii="Times New Roman" w:hAnsi="Times New Roman"/>
          <w:szCs w:val="28"/>
        </w:rPr>
        <w:t>тение, полезную модель и промышленный образец.</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F503C1">
        <w:rPr>
          <w:rFonts w:ascii="Times New Roman" w:hAnsi="Times New Roman"/>
          <w:szCs w:val="28"/>
        </w:rPr>
        <w:t>0,58</w:t>
      </w:r>
      <w:r w:rsidRPr="002B7A4C">
        <w:rPr>
          <w:rFonts w:ascii="Times New Roman" w:hAnsi="Times New Roman"/>
          <w:szCs w:val="28"/>
        </w:rPr>
        <w:t xml:space="preserve"> </w:t>
      </w:r>
      <w:proofErr w:type="spellStart"/>
      <w:r w:rsidRPr="002B7A4C">
        <w:rPr>
          <w:rFonts w:ascii="Times New Roman" w:hAnsi="Times New Roman"/>
          <w:szCs w:val="28"/>
        </w:rPr>
        <w:t>усл</w:t>
      </w:r>
      <w:proofErr w:type="spellEnd"/>
      <w:r w:rsidRPr="002B7A4C">
        <w:rPr>
          <w:rFonts w:ascii="Times New Roman" w:hAnsi="Times New Roman"/>
          <w:szCs w:val="28"/>
        </w:rPr>
        <w:t>.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192461" w:rsidP="002B7A4C">
      <w:pPr>
        <w:spacing w:line="240" w:lineRule="auto"/>
        <w:rPr>
          <w:rFonts w:ascii="Times New Roman" w:hAnsi="Times New Roman"/>
          <w:szCs w:val="28"/>
        </w:rPr>
      </w:pPr>
      <w:r w:rsidRPr="002B7A4C">
        <w:rPr>
          <w:rFonts w:ascii="Times New Roman" w:hAnsi="Times New Roman"/>
          <w:noProof/>
          <w:szCs w:val="28"/>
          <w:lang w:eastAsia="ru-RU"/>
        </w:rPr>
        <mc:AlternateContent>
          <mc:Choice Requires="wps">
            <w:drawing>
              <wp:anchor distT="0" distB="0" distL="114300" distR="114300" simplePos="0" relativeHeight="251681792" behindDoc="0" locked="0" layoutInCell="1" allowOverlap="1">
                <wp:simplePos x="0" y="0"/>
                <wp:positionH relativeFrom="column">
                  <wp:posOffset>2290445</wp:posOffset>
                </wp:positionH>
                <wp:positionV relativeFrom="paragraph">
                  <wp:posOffset>288925</wp:posOffset>
                </wp:positionV>
                <wp:extent cx="1285875" cy="609600"/>
                <wp:effectExtent l="3810" t="2540" r="0" b="0"/>
                <wp:wrapNone/>
                <wp:docPr id="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62E2182" id="Rectangle 21" o:spid="_x0000_s1026" style="position:absolute;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mc:Fallback>
        </mc:AlternateContent>
      </w:r>
      <w:r w:rsidRPr="002B7A4C">
        <w:rPr>
          <w:rFonts w:ascii="Times New Roman" w:hAnsi="Times New Roman"/>
          <w:noProof/>
          <w:szCs w:val="28"/>
          <w:lang w:eastAsia="ru-RU"/>
        </w:rPr>
        <mc:AlternateContent>
          <mc:Choice Requires="wps">
            <w:drawing>
              <wp:anchor distT="0" distB="0" distL="114300" distR="114300" simplePos="0" relativeHeight="251682816" behindDoc="0" locked="0" layoutInCell="1" allowOverlap="1">
                <wp:simplePos x="0" y="0"/>
                <wp:positionH relativeFrom="column">
                  <wp:posOffset>1677670</wp:posOffset>
                </wp:positionH>
                <wp:positionV relativeFrom="paragraph">
                  <wp:posOffset>299085</wp:posOffset>
                </wp:positionV>
                <wp:extent cx="803275" cy="318135"/>
                <wp:effectExtent l="635" t="3175" r="0" b="254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887DC88" id="Rectangle 22" o:spid="_x0000_s1026" style="position:absolute;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mc:Fallback>
        </mc:AlternateContent>
      </w:r>
      <w:r w:rsidR="00287418" w:rsidRPr="002B7A4C">
        <w:rPr>
          <w:rFonts w:ascii="Times New Roman" w:hAnsi="Times New Roman"/>
          <w:szCs w:val="28"/>
        </w:rPr>
        <w:t>344000, г. Ростов-на-Дону, пл. Гагарина, 1</w:t>
      </w:r>
    </w:p>
    <w:sectPr w:rsidR="00C70D05" w:rsidRPr="002B7A4C" w:rsidSect="00CA754A">
      <w:footerReference w:type="default" r:id="rId8"/>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960" w:rsidRDefault="00267960" w:rsidP="009E3C84">
      <w:pPr>
        <w:spacing w:line="240" w:lineRule="auto"/>
      </w:pPr>
      <w:r>
        <w:separator/>
      </w:r>
    </w:p>
  </w:endnote>
  <w:endnote w:type="continuationSeparator" w:id="0">
    <w:p w:rsidR="00267960" w:rsidRDefault="00267960"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E61846">
      <w:rPr>
        <w:noProof/>
      </w:rPr>
      <w:t>2</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960" w:rsidRDefault="00267960" w:rsidP="009E3C84">
      <w:pPr>
        <w:spacing w:line="240" w:lineRule="auto"/>
      </w:pPr>
      <w:r>
        <w:separator/>
      </w:r>
    </w:p>
  </w:footnote>
  <w:footnote w:type="continuationSeparator" w:id="0">
    <w:p w:rsidR="00267960" w:rsidRDefault="00267960"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67960"/>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3E0"/>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1E01"/>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66EF"/>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846"/>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03C1"/>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F871F-B436-43F9-959C-DCAF15EBA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2022</Words>
  <Characters>11531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16</cp:revision>
  <cp:lastPrinted>2018-07-18T10:03:00Z</cp:lastPrinted>
  <dcterms:created xsi:type="dcterms:W3CDTF">2018-07-13T08:21:00Z</dcterms:created>
  <dcterms:modified xsi:type="dcterms:W3CDTF">2022-10-11T09:52:00Z</dcterms:modified>
</cp:coreProperties>
</file>